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C1" w:rsidRPr="009378DF" w:rsidRDefault="00EB72C1" w:rsidP="00EB72C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5</w:t>
      </w:r>
    </w:p>
    <w:p w:rsidR="00EB72C1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9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EB72C1" w:rsidRPr="00EE774A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EB72C1" w:rsidRPr="00EE774A" w:rsidRDefault="00EB72C1" w:rsidP="00EB72C1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F16B8B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D03786">
        <w:rPr>
          <w:rFonts w:ascii="宋体" w:hAnsi="宋体" w:hint="eastAsia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月</w:t>
      </w:r>
      <w:r w:rsidR="00D03786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EB72C1" w:rsidRPr="000A55B8" w:rsidRDefault="00EB72C1" w:rsidP="00D03786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3A425A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</w:t>
      </w:r>
      <w:r w:rsidR="00D03786" w:rsidRPr="00D03786">
        <w:rPr>
          <w:rFonts w:ascii="宋体" w:hAnsi="宋体" w:hint="eastAsia"/>
          <w:color w:val="000000"/>
          <w:sz w:val="28"/>
          <w:szCs w:val="28"/>
        </w:rPr>
        <w:t>2,510,648,000.00</w:t>
      </w:r>
      <w:r w:rsidRPr="00F92C32">
        <w:rPr>
          <w:rFonts w:ascii="宋体" w:hAnsi="宋体" w:hint="eastAsia"/>
          <w:color w:val="000000"/>
          <w:sz w:val="28"/>
          <w:szCs w:val="28"/>
        </w:rPr>
        <w:t xml:space="preserve">元。  </w:t>
      </w:r>
    </w:p>
    <w:p w:rsidR="00EB72C1" w:rsidRPr="00EE774A" w:rsidRDefault="00EB72C1" w:rsidP="00EB72C1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8C2404" w:rsidRPr="00C1385C" w:rsidRDefault="008C2404" w:rsidP="00C1385C">
      <w:pPr>
        <w:spacing w:line="56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385C">
        <w:rPr>
          <w:rFonts w:ascii="宋体" w:hAnsi="宋体" w:hint="eastAsia"/>
          <w:color w:val="000000"/>
          <w:sz w:val="28"/>
          <w:szCs w:val="28"/>
        </w:rPr>
        <w:t>中国建设银行</w:t>
      </w:r>
      <w:r w:rsidR="00A332F2" w:rsidRPr="00C1385C">
        <w:rPr>
          <w:rFonts w:ascii="宋体" w:hAnsi="宋体" w:hint="eastAsia"/>
          <w:color w:val="000000"/>
          <w:sz w:val="28"/>
          <w:szCs w:val="28"/>
        </w:rPr>
        <w:t>于</w:t>
      </w:r>
      <w:r w:rsidRPr="00C1385C">
        <w:rPr>
          <w:rFonts w:ascii="宋体" w:hAnsi="宋体" w:hint="eastAsia"/>
          <w:color w:val="000000"/>
          <w:sz w:val="28"/>
          <w:szCs w:val="28"/>
        </w:rPr>
        <w:t>2018年5月30日（含）起，调整“乾元—满溢”90天开放式资产组合型人民币理财产品（机构版）客户</w:t>
      </w:r>
      <w:proofErr w:type="gramStart"/>
      <w:r w:rsidRPr="00C1385C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C1385C">
        <w:rPr>
          <w:rFonts w:ascii="宋体" w:hAnsi="宋体" w:hint="eastAsia"/>
          <w:color w:val="000000"/>
          <w:sz w:val="28"/>
          <w:szCs w:val="28"/>
        </w:rPr>
        <w:t>，具体如下表：</w:t>
      </w:r>
    </w:p>
    <w:p w:rsidR="008C2404" w:rsidRPr="00D90766" w:rsidRDefault="008C2404" w:rsidP="008C2404">
      <w:pPr>
        <w:spacing w:line="560" w:lineRule="exact"/>
        <w:ind w:firstLineChars="200" w:firstLine="640"/>
        <w:rPr>
          <w:rFonts w:ascii="彩虹粗仿宋" w:eastAsia="彩虹粗仿宋" w:hint="eastAsia"/>
          <w:sz w:val="32"/>
          <w:szCs w:val="32"/>
        </w:rPr>
      </w:pPr>
    </w:p>
    <w:tbl>
      <w:tblPr>
        <w:tblW w:w="44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2700"/>
        <w:gridCol w:w="2659"/>
      </w:tblGrid>
      <w:tr w:rsidR="008C2404" w:rsidRPr="00990ACB" w:rsidTr="008C2404">
        <w:trPr>
          <w:trHeight w:val="20"/>
          <w:tblHeader/>
          <w:jc w:val="center"/>
        </w:trPr>
        <w:tc>
          <w:tcPr>
            <w:tcW w:w="2157" w:type="dxa"/>
            <w:vAlign w:val="center"/>
            <w:hideMark/>
          </w:tcPr>
          <w:p w:rsidR="008C2404" w:rsidRPr="00990ACB" w:rsidRDefault="008C2404" w:rsidP="0028067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990AC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档期设置</w:t>
            </w:r>
          </w:p>
        </w:tc>
        <w:tc>
          <w:tcPr>
            <w:tcW w:w="2700" w:type="dxa"/>
            <w:vAlign w:val="center"/>
            <w:hideMark/>
          </w:tcPr>
          <w:p w:rsidR="008C2404" w:rsidRPr="00990ACB" w:rsidRDefault="008C2404" w:rsidP="0028067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990AC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客户</w:t>
            </w:r>
            <w:proofErr w:type="gramStart"/>
            <w:r w:rsidRPr="00990AC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预期年化收益率</w:t>
            </w:r>
            <w:proofErr w:type="gramEnd"/>
          </w:p>
          <w:p w:rsidR="008C2404" w:rsidRPr="00990ACB" w:rsidRDefault="008C2404" w:rsidP="0028067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990AC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（调整前）</w:t>
            </w:r>
          </w:p>
        </w:tc>
        <w:tc>
          <w:tcPr>
            <w:tcW w:w="2659" w:type="dxa"/>
            <w:hideMark/>
          </w:tcPr>
          <w:p w:rsidR="008C2404" w:rsidRPr="00990ACB" w:rsidRDefault="008C2404" w:rsidP="0028067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990AC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客户</w:t>
            </w:r>
            <w:proofErr w:type="gramStart"/>
            <w:r w:rsidRPr="00990AC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预期年化收益率</w:t>
            </w:r>
            <w:proofErr w:type="gramEnd"/>
          </w:p>
          <w:p w:rsidR="008C2404" w:rsidRPr="00990ACB" w:rsidRDefault="008C2404" w:rsidP="0028067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990AC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（调整后）</w:t>
            </w:r>
          </w:p>
        </w:tc>
      </w:tr>
      <w:tr w:rsidR="008C2404" w:rsidRPr="00990ACB" w:rsidTr="008C2404">
        <w:trPr>
          <w:trHeight w:val="20"/>
          <w:jc w:val="center"/>
        </w:trPr>
        <w:tc>
          <w:tcPr>
            <w:tcW w:w="2157" w:type="dxa"/>
            <w:vAlign w:val="center"/>
            <w:hideMark/>
          </w:tcPr>
          <w:p w:rsidR="008C2404" w:rsidRPr="00990ACB" w:rsidRDefault="008C2404" w:rsidP="0028067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 w:val="22"/>
              </w:rPr>
            </w:pPr>
            <w:r w:rsidRPr="00990ACB">
              <w:rPr>
                <w:rFonts w:asciiTheme="majorEastAsia" w:eastAsiaTheme="majorEastAsia" w:hAnsiTheme="majorEastAsia" w:cs="Calibri" w:hint="eastAsia"/>
                <w:color w:val="000000"/>
                <w:kern w:val="0"/>
                <w:sz w:val="22"/>
              </w:rPr>
              <w:t>90天</w:t>
            </w:r>
          </w:p>
        </w:tc>
        <w:tc>
          <w:tcPr>
            <w:tcW w:w="2700" w:type="dxa"/>
            <w:hideMark/>
          </w:tcPr>
          <w:p w:rsidR="008C2404" w:rsidRPr="00990ACB" w:rsidRDefault="008C2404" w:rsidP="0028067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990AC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4.70%</w:t>
            </w:r>
          </w:p>
        </w:tc>
        <w:tc>
          <w:tcPr>
            <w:tcW w:w="2659" w:type="dxa"/>
            <w:hideMark/>
          </w:tcPr>
          <w:p w:rsidR="008C2404" w:rsidRPr="00990ACB" w:rsidRDefault="008C2404" w:rsidP="0028067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990AC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4.45%</w:t>
            </w:r>
          </w:p>
        </w:tc>
      </w:tr>
    </w:tbl>
    <w:p w:rsidR="008C2404" w:rsidRPr="000F5B1E" w:rsidRDefault="008C2404" w:rsidP="008C2404">
      <w:pPr>
        <w:spacing w:line="560" w:lineRule="exact"/>
        <w:rPr>
          <w:rFonts w:ascii="彩虹粗仿宋" w:eastAsia="彩虹粗仿宋" w:hint="eastAsia"/>
          <w:color w:val="000000"/>
          <w:sz w:val="32"/>
          <w:szCs w:val="32"/>
        </w:rPr>
      </w:pPr>
    </w:p>
    <w:p w:rsidR="008C2404" w:rsidRPr="00C1385C" w:rsidRDefault="008C2404" w:rsidP="00C1385C">
      <w:pPr>
        <w:spacing w:line="56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C1385C">
        <w:rPr>
          <w:rFonts w:ascii="宋体" w:hAnsi="宋体" w:hint="eastAsia"/>
          <w:color w:val="000000"/>
          <w:sz w:val="28"/>
          <w:szCs w:val="28"/>
        </w:rPr>
        <w:t>新客户</w:t>
      </w:r>
      <w:proofErr w:type="gramStart"/>
      <w:r w:rsidRPr="00C1385C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C1385C">
        <w:rPr>
          <w:rFonts w:ascii="宋体" w:hAnsi="宋体" w:hint="eastAsia"/>
          <w:color w:val="000000"/>
          <w:sz w:val="28"/>
          <w:szCs w:val="28"/>
        </w:rPr>
        <w:t>于2018年5月30日（含）起执行。对于2018年5月30日（不含）前已经购买成功且未赎回的存量投资本金，其中封闭期内的份额仍按照购买确认日当日的客户</w:t>
      </w:r>
      <w:proofErr w:type="gramStart"/>
      <w:r w:rsidRPr="00C1385C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C1385C">
        <w:rPr>
          <w:rFonts w:ascii="宋体" w:hAnsi="宋体" w:hint="eastAsia"/>
          <w:color w:val="000000"/>
          <w:sz w:val="28"/>
          <w:szCs w:val="28"/>
        </w:rPr>
        <w:t>计算投资收益，非封闭期内的份额从2018年5月30日（含）起按调整后的</w:t>
      </w:r>
      <w:proofErr w:type="gramStart"/>
      <w:r w:rsidRPr="00C1385C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C1385C">
        <w:rPr>
          <w:rFonts w:ascii="宋体" w:hAnsi="宋体" w:hint="eastAsia"/>
          <w:color w:val="000000"/>
          <w:sz w:val="28"/>
          <w:szCs w:val="28"/>
        </w:rPr>
        <w:t>计算投资收益。2018年5月30日（含）后购买的部分自动执行调整后的客户</w:t>
      </w:r>
      <w:proofErr w:type="gramStart"/>
      <w:r w:rsidRPr="00C1385C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C1385C">
        <w:rPr>
          <w:rFonts w:ascii="宋体" w:hAnsi="宋体" w:hint="eastAsia"/>
          <w:color w:val="000000"/>
          <w:sz w:val="28"/>
          <w:szCs w:val="28"/>
        </w:rPr>
        <w:t>。但前述情形下的最终投资收益均以我</w:t>
      </w:r>
      <w:proofErr w:type="gramStart"/>
      <w:r w:rsidRPr="00C1385C">
        <w:rPr>
          <w:rFonts w:ascii="宋体" w:hAnsi="宋体" w:hint="eastAsia"/>
          <w:color w:val="000000"/>
          <w:sz w:val="28"/>
          <w:szCs w:val="28"/>
        </w:rPr>
        <w:t>行最终</w:t>
      </w:r>
      <w:proofErr w:type="gramEnd"/>
      <w:r w:rsidRPr="00C1385C">
        <w:rPr>
          <w:rFonts w:ascii="宋体" w:hAnsi="宋体" w:hint="eastAsia"/>
          <w:color w:val="000000"/>
          <w:sz w:val="28"/>
          <w:szCs w:val="28"/>
        </w:rPr>
        <w:t>支付的</w:t>
      </w:r>
      <w:proofErr w:type="gramStart"/>
      <w:r w:rsidRPr="00C1385C">
        <w:rPr>
          <w:rFonts w:ascii="宋体" w:hAnsi="宋体" w:hint="eastAsia"/>
          <w:color w:val="000000"/>
          <w:sz w:val="28"/>
          <w:szCs w:val="28"/>
        </w:rPr>
        <w:t>实际年化收益率</w:t>
      </w:r>
      <w:proofErr w:type="gramEnd"/>
      <w:r w:rsidRPr="00C1385C">
        <w:rPr>
          <w:rFonts w:ascii="宋体" w:hAnsi="宋体" w:hint="eastAsia"/>
          <w:color w:val="000000"/>
          <w:sz w:val="28"/>
          <w:szCs w:val="28"/>
        </w:rPr>
        <w:t>为准。</w:t>
      </w:r>
    </w:p>
    <w:p w:rsidR="00EB72C1" w:rsidRPr="00EE774A" w:rsidRDefault="00EB72C1" w:rsidP="00EB72C1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lastRenderedPageBreak/>
        <w:t>二、产品投资组合详细情况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EB72C1" w:rsidRPr="00EE774A" w:rsidRDefault="004A16F8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6C4472D" wp14:editId="5AF87DBB">
            <wp:extent cx="3743325" cy="1714500"/>
            <wp:effectExtent l="0" t="0" r="9525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EB72C1" w:rsidRPr="00EE774A" w:rsidRDefault="004A16F8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D8EB70F" wp14:editId="0D243680">
            <wp:extent cx="3276600" cy="1924050"/>
            <wp:effectExtent l="0" t="0" r="19050" b="1905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FF2407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FF2407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EB72C1" w:rsidRPr="005622F6" w:rsidRDefault="004A16F8" w:rsidP="00EB72C1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CCDD467" wp14:editId="40A0AE75">
            <wp:extent cx="5274310" cy="2592592"/>
            <wp:effectExtent l="0" t="0" r="21590" b="1778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bookmarkStart w:id="0" w:name="_GoBack"/>
      <w:bookmarkEnd w:id="0"/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lastRenderedPageBreak/>
        <w:t>（2）截至本报告日，所有投资资产正常运营，未发现有异常情况或者不利情况。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EB72C1" w:rsidRPr="00EE774A" w:rsidRDefault="00EB72C1" w:rsidP="00EB72C1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9355B9" w:rsidRDefault="00EB72C1" w:rsidP="00EB72C1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9355B9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5444C6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5444C6"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9355B9" w:rsidRDefault="009355B9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br w:type="page"/>
      </w:r>
    </w:p>
    <w:p w:rsidR="00EB72C1" w:rsidRPr="00371CB6" w:rsidRDefault="00EB72C1" w:rsidP="00EB72C1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</w:p>
    <w:sectPr w:rsidR="00EB72C1" w:rsidRPr="00371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979" w:rsidRDefault="00C55979" w:rsidP="00EB72C1">
      <w:r>
        <w:separator/>
      </w:r>
    </w:p>
  </w:endnote>
  <w:endnote w:type="continuationSeparator" w:id="0">
    <w:p w:rsidR="00C55979" w:rsidRDefault="00C55979" w:rsidP="00EB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979" w:rsidRDefault="00C55979" w:rsidP="00EB72C1">
      <w:r>
        <w:separator/>
      </w:r>
    </w:p>
  </w:footnote>
  <w:footnote w:type="continuationSeparator" w:id="0">
    <w:p w:rsidR="00C55979" w:rsidRDefault="00C55979" w:rsidP="00EB7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06"/>
    <w:rsid w:val="00022D37"/>
    <w:rsid w:val="00065AA1"/>
    <w:rsid w:val="000D2968"/>
    <w:rsid w:val="00120E19"/>
    <w:rsid w:val="001318CD"/>
    <w:rsid w:val="00136293"/>
    <w:rsid w:val="00153C80"/>
    <w:rsid w:val="002720BA"/>
    <w:rsid w:val="002D5B11"/>
    <w:rsid w:val="002E7107"/>
    <w:rsid w:val="002F58AC"/>
    <w:rsid w:val="00352DAC"/>
    <w:rsid w:val="003A425A"/>
    <w:rsid w:val="003A6FD8"/>
    <w:rsid w:val="004A16F8"/>
    <w:rsid w:val="004B7C4F"/>
    <w:rsid w:val="005444C6"/>
    <w:rsid w:val="00552B28"/>
    <w:rsid w:val="005C3C4B"/>
    <w:rsid w:val="00615DF9"/>
    <w:rsid w:val="0064560B"/>
    <w:rsid w:val="006C2B34"/>
    <w:rsid w:val="006E37F0"/>
    <w:rsid w:val="006F2D24"/>
    <w:rsid w:val="007254B5"/>
    <w:rsid w:val="00727382"/>
    <w:rsid w:val="007A4963"/>
    <w:rsid w:val="00810DCF"/>
    <w:rsid w:val="008C2404"/>
    <w:rsid w:val="008E6BEC"/>
    <w:rsid w:val="008F0625"/>
    <w:rsid w:val="00916C06"/>
    <w:rsid w:val="009355B9"/>
    <w:rsid w:val="00962C01"/>
    <w:rsid w:val="009711EE"/>
    <w:rsid w:val="00990ACB"/>
    <w:rsid w:val="00993D28"/>
    <w:rsid w:val="009C2DE7"/>
    <w:rsid w:val="009E4D13"/>
    <w:rsid w:val="00A332F2"/>
    <w:rsid w:val="00A66F45"/>
    <w:rsid w:val="00AA332A"/>
    <w:rsid w:val="00AA61AA"/>
    <w:rsid w:val="00AD1128"/>
    <w:rsid w:val="00AE4DC3"/>
    <w:rsid w:val="00B5037F"/>
    <w:rsid w:val="00B50395"/>
    <w:rsid w:val="00BE02D8"/>
    <w:rsid w:val="00BF046E"/>
    <w:rsid w:val="00C1385C"/>
    <w:rsid w:val="00C255A6"/>
    <w:rsid w:val="00C55979"/>
    <w:rsid w:val="00C82292"/>
    <w:rsid w:val="00CA235D"/>
    <w:rsid w:val="00CB6958"/>
    <w:rsid w:val="00D03786"/>
    <w:rsid w:val="00E779B4"/>
    <w:rsid w:val="00EB37B7"/>
    <w:rsid w:val="00EB72C1"/>
    <w:rsid w:val="00F031B3"/>
    <w:rsid w:val="00F16B8B"/>
    <w:rsid w:val="00F92C32"/>
    <w:rsid w:val="00F95DDD"/>
    <w:rsid w:val="00FA18E3"/>
    <w:rsid w:val="00F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944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974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531&#25353;&#21608;&#25259;&#38706;\2018&#24180;5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531&#25353;&#21608;&#25259;&#38706;\2018&#24180;5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531&#25353;&#21608;&#25259;&#38706;\2018&#24180;5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352754530112732E-2"/>
          <c:y val="0.13062043891720881"/>
          <c:w val="0.62361773345394278"/>
          <c:h val="0.83165087913148894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'2018年5月'!$A$210:$A$211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'2018年5月'!$B$210:$B$211</c:f>
              <c:numCache>
                <c:formatCode>0.00%</c:formatCode>
                <c:ptCount val="2"/>
                <c:pt idx="0">
                  <c:v>7.3949697628425545E-4</c:v>
                </c:pt>
                <c:pt idx="1">
                  <c:v>0.99926050302303693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'2018年5月'!$A$217:$A$221</c:f>
              <c:strCache>
                <c:ptCount val="5"/>
                <c:pt idx="0">
                  <c:v>A</c:v>
                </c:pt>
                <c:pt idx="1">
                  <c:v>A+</c:v>
                </c:pt>
                <c:pt idx="2">
                  <c:v>AA</c:v>
                </c:pt>
                <c:pt idx="3">
                  <c:v>AA-</c:v>
                </c:pt>
                <c:pt idx="4">
                  <c:v>AAA</c:v>
                </c:pt>
              </c:strCache>
            </c:strRef>
          </c:cat>
          <c:val>
            <c:numRef>
              <c:f>'2018年5月'!$B$217:$B$221</c:f>
              <c:numCache>
                <c:formatCode>0.00%</c:formatCode>
                <c:ptCount val="5"/>
                <c:pt idx="0">
                  <c:v>1.0783608914450037E-2</c:v>
                </c:pt>
                <c:pt idx="1">
                  <c:v>0.24362968288201933</c:v>
                </c:pt>
                <c:pt idx="2">
                  <c:v>0.33549005511622332</c:v>
                </c:pt>
                <c:pt idx="3">
                  <c:v>0.16295231248502276</c:v>
                </c:pt>
                <c:pt idx="4">
                  <c:v>0.24714434060228452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78078526521394132"/>
          <c:y val="0.23479524736827251"/>
          <c:w val="0.19598242080205086"/>
          <c:h val="0.2664205683966923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9022925705715357"/>
          <c:y val="5.9976931949250287E-2"/>
          <c:w val="0.77656221543735604"/>
          <c:h val="0.8336717252903940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'2018年5月'!$B$225</c:f>
              <c:strCache>
                <c:ptCount val="1"/>
                <c:pt idx="0">
                  <c:v>5月各行业</c:v>
                </c:pt>
              </c:strCache>
            </c:strRef>
          </c:tx>
          <c:invertIfNegative val="0"/>
          <c:cat>
            <c:strRef>
              <c:f>'2018年5月'!$A$226:$A$233</c:f>
              <c:strCache>
                <c:ptCount val="8"/>
                <c:pt idx="0">
                  <c:v>电力、热力、燃气及水的生产和供应业</c:v>
                </c:pt>
                <c:pt idx="1">
                  <c:v>批发和零售业</c:v>
                </c:pt>
                <c:pt idx="2">
                  <c:v>水利、环境和公共设施管理业</c:v>
                </c:pt>
                <c:pt idx="3">
                  <c:v>制造业</c:v>
                </c:pt>
                <c:pt idx="4">
                  <c:v>综合</c:v>
                </c:pt>
                <c:pt idx="5">
                  <c:v>租赁和商务服务业</c:v>
                </c:pt>
                <c:pt idx="6">
                  <c:v>金融业</c:v>
                </c:pt>
                <c:pt idx="7">
                  <c:v>交通运输、仓储和邮政业</c:v>
                </c:pt>
              </c:strCache>
            </c:strRef>
          </c:cat>
          <c:val>
            <c:numRef>
              <c:f>'2018年5月'!$B$226:$B$233</c:f>
              <c:numCache>
                <c:formatCode>0.00%</c:formatCode>
                <c:ptCount val="8"/>
                <c:pt idx="0">
                  <c:v>3.1951433820592698E-3</c:v>
                </c:pt>
                <c:pt idx="1">
                  <c:v>3.9939292275740874E-3</c:v>
                </c:pt>
                <c:pt idx="2">
                  <c:v>3.9939292275740876E-2</c:v>
                </c:pt>
                <c:pt idx="3">
                  <c:v>1.1981787682722261E-2</c:v>
                </c:pt>
                <c:pt idx="4">
                  <c:v>9.9848230689352183E-2</c:v>
                </c:pt>
                <c:pt idx="5">
                  <c:v>0.45083473120856299</c:v>
                </c:pt>
                <c:pt idx="6">
                  <c:v>0.19969646137870437</c:v>
                </c:pt>
                <c:pt idx="7">
                  <c:v>0.19051042415528396</c:v>
                </c:pt>
              </c:numCache>
            </c:numRef>
          </c:val>
        </c:ser>
        <c:ser>
          <c:idx val="1"/>
          <c:order val="1"/>
          <c:tx>
            <c:strRef>
              <c:f>'2018年5月'!$C$225</c:f>
              <c:strCache>
                <c:ptCount val="1"/>
                <c:pt idx="0">
                  <c:v>4月各行业</c:v>
                </c:pt>
              </c:strCache>
            </c:strRef>
          </c:tx>
          <c:invertIfNegative val="0"/>
          <c:cat>
            <c:strRef>
              <c:f>'2018年5月'!$A$226:$A$233</c:f>
              <c:strCache>
                <c:ptCount val="8"/>
                <c:pt idx="0">
                  <c:v>电力、热力、燃气及水的生产和供应业</c:v>
                </c:pt>
                <c:pt idx="1">
                  <c:v>批发和零售业</c:v>
                </c:pt>
                <c:pt idx="2">
                  <c:v>水利、环境和公共设施管理业</c:v>
                </c:pt>
                <c:pt idx="3">
                  <c:v>制造业</c:v>
                </c:pt>
                <c:pt idx="4">
                  <c:v>综合</c:v>
                </c:pt>
                <c:pt idx="5">
                  <c:v>租赁和商务服务业</c:v>
                </c:pt>
                <c:pt idx="6">
                  <c:v>金融业</c:v>
                </c:pt>
                <c:pt idx="7">
                  <c:v>交通运输、仓储和邮政业</c:v>
                </c:pt>
              </c:strCache>
            </c:strRef>
          </c:cat>
          <c:val>
            <c:numRef>
              <c:f>'2018年5月'!$C$226:$C$233</c:f>
              <c:numCache>
                <c:formatCode>0.00%</c:formatCode>
                <c:ptCount val="8"/>
                <c:pt idx="0">
                  <c:v>9.6601073345259386E-2</c:v>
                </c:pt>
                <c:pt idx="1">
                  <c:v>8.9445438282647581E-3</c:v>
                </c:pt>
                <c:pt idx="2">
                  <c:v>8.9445438282647588E-2</c:v>
                </c:pt>
                <c:pt idx="3">
                  <c:v>0</c:v>
                </c:pt>
                <c:pt idx="4">
                  <c:v>0.17889087656529518</c:v>
                </c:pt>
                <c:pt idx="5">
                  <c:v>0.17889087656529518</c:v>
                </c:pt>
                <c:pt idx="6">
                  <c:v>0.44722719141323791</c:v>
                </c:pt>
                <c:pt idx="7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'2018年5月'!$D$225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'2018年5月'!$A$226:$A$233</c:f>
              <c:strCache>
                <c:ptCount val="8"/>
                <c:pt idx="0">
                  <c:v>电力、热力、燃气及水的生产和供应业</c:v>
                </c:pt>
                <c:pt idx="1">
                  <c:v>批发和零售业</c:v>
                </c:pt>
                <c:pt idx="2">
                  <c:v>水利、环境和公共设施管理业</c:v>
                </c:pt>
                <c:pt idx="3">
                  <c:v>制造业</c:v>
                </c:pt>
                <c:pt idx="4">
                  <c:v>综合</c:v>
                </c:pt>
                <c:pt idx="5">
                  <c:v>租赁和商务服务业</c:v>
                </c:pt>
                <c:pt idx="6">
                  <c:v>金融业</c:v>
                </c:pt>
                <c:pt idx="7">
                  <c:v>交通运输、仓储和邮政业</c:v>
                </c:pt>
              </c:strCache>
            </c:strRef>
          </c:cat>
          <c:val>
            <c:numRef>
              <c:f>'2018年5月'!$D$226:$D$233</c:f>
              <c:numCache>
                <c:formatCode>0.00%</c:formatCode>
                <c:ptCount val="8"/>
                <c:pt idx="0">
                  <c:v>-9.3405929963200116E-2</c:v>
                </c:pt>
                <c:pt idx="1">
                  <c:v>-4.9506146006906707E-3</c:v>
                </c:pt>
                <c:pt idx="2">
                  <c:v>-4.9506146006906712E-2</c:v>
                </c:pt>
                <c:pt idx="3">
                  <c:v>1.1981787682722261E-2</c:v>
                </c:pt>
                <c:pt idx="4">
                  <c:v>-7.9042645875942993E-2</c:v>
                </c:pt>
                <c:pt idx="5">
                  <c:v>0.27194385464326781</c:v>
                </c:pt>
                <c:pt idx="6">
                  <c:v>-0.24753073003453355</c:v>
                </c:pt>
                <c:pt idx="7">
                  <c:v>0.19051042415528396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493440"/>
        <c:axId val="106494976"/>
      </c:barChart>
      <c:catAx>
        <c:axId val="1064934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06494976"/>
        <c:crosses val="autoZero"/>
        <c:auto val="1"/>
        <c:lblAlgn val="ctr"/>
        <c:lblOffset val="100"/>
        <c:noMultiLvlLbl val="0"/>
      </c:catAx>
      <c:valAx>
        <c:axId val="106494976"/>
        <c:scaling>
          <c:orientation val="minMax"/>
          <c:min val="-0.30000000000000004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6493440"/>
        <c:crosses val="autoZero"/>
        <c:crossBetween val="between"/>
        <c:majorUnit val="5.000000000000001E-2"/>
        <c:minorUnit val="5.000000000000001E-2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2018-06-04T08:10:00Z</dcterms:created>
  <dcterms:modified xsi:type="dcterms:W3CDTF">2018-06-04T08:11:00Z</dcterms:modified>
</cp:coreProperties>
</file>